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E3" w:rsidRPr="00397FDC" w:rsidRDefault="001D5AE3">
      <w:pPr>
        <w:rPr>
          <w:rFonts w:ascii="Tw Cen MT" w:hAnsi="Tw Cen MT"/>
          <w:b/>
          <w:sz w:val="24"/>
          <w:szCs w:val="24"/>
        </w:rPr>
      </w:pPr>
      <w:r w:rsidRPr="00397FDC">
        <w:rPr>
          <w:rFonts w:ascii="Tw Cen MT" w:hAnsi="Tw Cen MT"/>
          <w:b/>
          <w:noProof/>
          <w:sz w:val="24"/>
          <w:szCs w:val="24"/>
        </w:rPr>
        <w:drawing>
          <wp:inline distT="0" distB="0" distL="0" distR="0">
            <wp:extent cx="4019550" cy="369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HOUSE_LOGO_v2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206" cy="3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E3" w:rsidRPr="00397FDC" w:rsidRDefault="00395890">
      <w:pPr>
        <w:rPr>
          <w:rFonts w:ascii="Tw Cen MT" w:hAnsi="Tw Cen MT"/>
          <w:b/>
          <w:sz w:val="24"/>
          <w:szCs w:val="24"/>
        </w:rPr>
      </w:pPr>
      <w:r w:rsidRPr="00397FDC">
        <w:rPr>
          <w:rFonts w:ascii="Tw Cen MT" w:hAnsi="Tw Cen MT"/>
          <w:b/>
          <w:sz w:val="24"/>
          <w:szCs w:val="24"/>
        </w:rPr>
        <w:t>Part-</w:t>
      </w:r>
      <w:r w:rsidR="001D5AE3" w:rsidRPr="00397FDC">
        <w:rPr>
          <w:rFonts w:ascii="Tw Cen MT" w:hAnsi="Tw Cen MT"/>
          <w:b/>
          <w:sz w:val="24"/>
          <w:szCs w:val="24"/>
        </w:rPr>
        <w:t xml:space="preserve">Time </w:t>
      </w:r>
      <w:r w:rsidR="00E37968" w:rsidRPr="00397FDC">
        <w:rPr>
          <w:rFonts w:ascii="Tw Cen MT" w:hAnsi="Tw Cen MT"/>
          <w:b/>
          <w:sz w:val="24"/>
          <w:szCs w:val="24"/>
        </w:rPr>
        <w:t>Ex</w:t>
      </w:r>
      <w:r w:rsidR="001D5AE3" w:rsidRPr="00397FDC">
        <w:rPr>
          <w:rFonts w:ascii="Tw Cen MT" w:hAnsi="Tw Cen MT"/>
          <w:b/>
          <w:sz w:val="24"/>
          <w:szCs w:val="24"/>
        </w:rPr>
        <w:t xml:space="preserve">hibition Coordinator/ Manager and Registrar </w:t>
      </w:r>
    </w:p>
    <w:p w:rsidR="001D5AE3" w:rsidRPr="00EA0BC2" w:rsidRDefault="001D5AE3">
      <w:pPr>
        <w:rPr>
          <w:rFonts w:ascii="Tw Cen MT" w:hAnsi="Tw Cen MT"/>
          <w:b/>
          <w:sz w:val="32"/>
          <w:szCs w:val="32"/>
        </w:rPr>
      </w:pPr>
      <w:proofErr w:type="spellStart"/>
      <w:r w:rsidRPr="00EA0BC2">
        <w:rPr>
          <w:rFonts w:ascii="Tw Cen MT" w:hAnsi="Tw Cen MT"/>
          <w:b/>
          <w:color w:val="231F20"/>
          <w:sz w:val="32"/>
          <w:szCs w:val="32"/>
        </w:rPr>
        <w:t>Tricontinental</w:t>
      </w:r>
      <w:proofErr w:type="spellEnd"/>
      <w:r w:rsidRPr="00EA0BC2">
        <w:rPr>
          <w:rFonts w:ascii="Tw Cen MT" w:hAnsi="Tw Cen MT"/>
          <w:b/>
          <w:color w:val="231F20"/>
          <w:sz w:val="32"/>
          <w:szCs w:val="32"/>
        </w:rPr>
        <w:t xml:space="preserve"> ‘66 and Other Acts of Liberation</w:t>
      </w:r>
    </w:p>
    <w:p w:rsidR="001D5AE3" w:rsidRPr="00397FDC" w:rsidRDefault="001D5AE3" w:rsidP="001D5AE3">
      <w:pPr>
        <w:rPr>
          <w:rFonts w:ascii="Tw Cen MT" w:eastAsia="Twentieth Century" w:hAnsi="Tw Cen MT" w:cs="Twentieth Century"/>
          <w:b/>
          <w:color w:val="000000"/>
          <w:sz w:val="24"/>
          <w:szCs w:val="24"/>
        </w:rPr>
      </w:pPr>
      <w:r w:rsidRPr="00397FDC">
        <w:rPr>
          <w:rFonts w:ascii="Tw Cen MT" w:eastAsia="Twentieth Century" w:hAnsi="Tw Cen MT" w:cs="Twentieth Century"/>
          <w:b/>
          <w:color w:val="000000"/>
          <w:sz w:val="24"/>
          <w:szCs w:val="24"/>
        </w:rPr>
        <w:t>Executive Summary</w:t>
      </w:r>
    </w:p>
    <w:p w:rsidR="001D5AE3" w:rsidRDefault="001D5AE3" w:rsidP="001D5AE3">
      <w:pPr>
        <w:spacing w:line="276" w:lineRule="auto"/>
        <w:rPr>
          <w:rFonts w:ascii="Tw Cen MT" w:eastAsia="Twentieth Century" w:hAnsi="Tw Cen MT" w:cs="Twentieth Century"/>
          <w:color w:val="000000"/>
          <w:sz w:val="24"/>
          <w:szCs w:val="24"/>
        </w:rPr>
      </w:pPr>
      <w:proofErr w:type="spellStart"/>
      <w:r w:rsidRPr="00397FDC">
        <w:rPr>
          <w:rFonts w:ascii="Tw Cen MT" w:eastAsia="Twentieth Century" w:hAnsi="Tw Cen MT" w:cs="Twentieth Century"/>
          <w:i/>
          <w:color w:val="000000"/>
          <w:sz w:val="24"/>
          <w:szCs w:val="24"/>
        </w:rPr>
        <w:t>Tricontinental</w:t>
      </w:r>
      <w:proofErr w:type="spellEnd"/>
      <w:r w:rsidRPr="00397FDC">
        <w:rPr>
          <w:rFonts w:ascii="Tw Cen MT" w:eastAsia="Twentieth Century" w:hAnsi="Tw Cen MT" w:cs="Twentieth Century"/>
          <w:i/>
          <w:color w:val="000000"/>
          <w:sz w:val="24"/>
          <w:szCs w:val="24"/>
        </w:rPr>
        <w:t xml:space="preserve"> ‘66 And Other Acts of Liberation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is a multi-disciplinary exhibition produced by The Center for International Performance and Exhibition </w:t>
      </w:r>
      <w:r w:rsidRPr="00397FDC">
        <w:rPr>
          <w:rFonts w:ascii="Tw Cen MT" w:eastAsia="Twentieth Century" w:hAnsi="Tw Cen MT" w:cs="Twentieth Century"/>
          <w:i/>
          <w:color w:val="000000"/>
          <w:sz w:val="24"/>
          <w:szCs w:val="24"/>
        </w:rPr>
        <w:t>dba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HotHouse. </w:t>
      </w:r>
    </w:p>
    <w:p w:rsidR="00EA0BC2" w:rsidRPr="00397FDC" w:rsidRDefault="00EA0BC2" w:rsidP="001D5AE3">
      <w:pPr>
        <w:spacing w:line="276" w:lineRule="auto"/>
        <w:rPr>
          <w:rFonts w:ascii="Tw Cen MT" w:eastAsia="Twentieth Century" w:hAnsi="Tw Cen MT" w:cs="Twentieth Century"/>
          <w:sz w:val="24"/>
          <w:szCs w:val="24"/>
        </w:rPr>
      </w:pPr>
      <w:r>
        <w:rPr>
          <w:rFonts w:ascii="Tw Cen MT" w:eastAsia="Twentieth Century" w:hAnsi="Tw Cen MT" w:cs="Twentieth Century"/>
          <w:color w:val="000000"/>
          <w:sz w:val="24"/>
          <w:szCs w:val="24"/>
        </w:rPr>
        <w:t>HotHouse is a non-profit arts and education organization celebrating its 36</w:t>
      </w:r>
      <w:r w:rsidRPr="00EA0BC2">
        <w:rPr>
          <w:rFonts w:ascii="Tw Cen MT" w:eastAsia="Twentieth Century" w:hAnsi="Tw Cen MT" w:cs="Twentieth Century"/>
          <w:color w:val="000000"/>
          <w:sz w:val="24"/>
          <w:szCs w:val="24"/>
          <w:vertAlign w:val="superscript"/>
        </w:rPr>
        <w:t>th</w:t>
      </w:r>
      <w:r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year in Chicago. </w:t>
      </w:r>
    </w:p>
    <w:p w:rsidR="001D5AE3" w:rsidRPr="00397FDC" w:rsidRDefault="001D5AE3" w:rsidP="001D5AE3">
      <w:pPr>
        <w:spacing w:line="276" w:lineRule="auto"/>
        <w:rPr>
          <w:rFonts w:ascii="Tw Cen MT" w:eastAsia="Twentieth Century" w:hAnsi="Tw Cen MT" w:cs="Twentieth Century"/>
          <w:color w:val="000000"/>
          <w:sz w:val="24"/>
          <w:szCs w:val="24"/>
        </w:rPr>
      </w:pP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The intent of this project is to create a </w:t>
      </w:r>
      <w:r w:rsidRPr="00397FDC">
        <w:rPr>
          <w:rFonts w:ascii="Tw Cen MT" w:eastAsia="Twentieth Century" w:hAnsi="Tw Cen MT" w:cs="Twentieth Century"/>
          <w:sz w:val="24"/>
          <w:szCs w:val="24"/>
        </w:rPr>
        <w:t>“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provocation</w:t>
      </w:r>
      <w:r w:rsidRPr="00397FDC">
        <w:rPr>
          <w:rFonts w:ascii="Tw Cen MT" w:eastAsia="Twentieth Century" w:hAnsi="Tw Cen MT" w:cs="Twentieth Century"/>
          <w:sz w:val="24"/>
          <w:szCs w:val="24"/>
        </w:rPr>
        <w:t>”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examining acts of liberation from imperialism/s and colonialism/s and for self-determination and social, democratic connection through multiple avenues of creative expression from the revolutionary era of the 1960's and '70's to the present.  </w:t>
      </w:r>
    </w:p>
    <w:p w:rsidR="001D5AE3" w:rsidRPr="00397FDC" w:rsidRDefault="001D5AE3" w:rsidP="001D5AE3">
      <w:pPr>
        <w:spacing w:line="276" w:lineRule="auto"/>
        <w:rPr>
          <w:rFonts w:ascii="Tw Cen MT" w:eastAsia="Twentieth Century" w:hAnsi="Tw Cen MT" w:cs="Twentieth Century"/>
          <w:color w:val="000000"/>
          <w:sz w:val="24"/>
          <w:szCs w:val="24"/>
        </w:rPr>
      </w:pP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This exhibit’s core of historical artifacts first emerged at a time when many of the world's non-aligned movements and nations came together at the 1966 </w:t>
      </w:r>
      <w:proofErr w:type="spellStart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Tricontinental</w:t>
      </w:r>
      <w:proofErr w:type="spellEnd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Conference in Havana, Cuba.  </w:t>
      </w:r>
    </w:p>
    <w:p w:rsidR="001D5AE3" w:rsidRPr="00397FDC" w:rsidRDefault="001D5AE3" w:rsidP="001D5AE3">
      <w:pPr>
        <w:spacing w:line="276" w:lineRule="auto"/>
        <w:rPr>
          <w:rFonts w:ascii="Tw Cen MT" w:eastAsia="Twentieth Century" w:hAnsi="Tw Cen MT" w:cs="Twentieth Century"/>
          <w:color w:val="000000"/>
          <w:sz w:val="24"/>
          <w:szCs w:val="24"/>
        </w:rPr>
      </w:pPr>
      <w:r w:rsidRPr="00397FDC">
        <w:rPr>
          <w:rFonts w:ascii="Tw Cen MT" w:eastAsia="Twentieth Century" w:hAnsi="Tw Cen MT" w:cs="Twentieth Century"/>
          <w:sz w:val="24"/>
          <w:szCs w:val="24"/>
        </w:rPr>
        <w:t xml:space="preserve">“The </w:t>
      </w:r>
      <w:proofErr w:type="spellStart"/>
      <w:r w:rsidRPr="00397FDC">
        <w:rPr>
          <w:rFonts w:ascii="Tw Cen MT" w:eastAsia="Twentieth Century" w:hAnsi="Tw Cen MT" w:cs="Twentieth Century"/>
          <w:sz w:val="24"/>
          <w:szCs w:val="24"/>
        </w:rPr>
        <w:t>Tricontinenal</w:t>
      </w:r>
      <w:proofErr w:type="spellEnd"/>
      <w:r w:rsidRPr="00397FDC">
        <w:rPr>
          <w:rFonts w:ascii="Tw Cen MT" w:eastAsia="Twentieth Century" w:hAnsi="Tw Cen MT" w:cs="Twentieth Century"/>
          <w:sz w:val="24"/>
          <w:szCs w:val="24"/>
        </w:rPr>
        <w:t xml:space="preserve"> ‘66 and Other Acts of Liberation” </w:t>
      </w:r>
      <w:r w:rsidRPr="00397FDC">
        <w:rPr>
          <w:rFonts w:ascii="Tw Cen MT" w:eastAsia="Twentieth Century" w:hAnsi="Tw Cen MT" w:cs="Twentieth Century"/>
          <w:sz w:val="24"/>
          <w:szCs w:val="24"/>
        </w:rPr>
        <w:t xml:space="preserve">is </w:t>
      </w:r>
      <w:r w:rsidRPr="00397FDC">
        <w:rPr>
          <w:rFonts w:ascii="Tw Cen MT" w:eastAsia="Twentieth Century" w:hAnsi="Tw Cen MT" w:cs="Twentieth Century"/>
          <w:sz w:val="24"/>
          <w:szCs w:val="24"/>
        </w:rPr>
        <w:t>a c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ollection of 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more than 70 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original posters, copies of the </w:t>
      </w:r>
      <w:proofErr w:type="spellStart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Tricontinental</w:t>
      </w:r>
      <w:proofErr w:type="spellEnd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journals</w:t>
      </w:r>
      <w:r w:rsidRPr="00397FDC">
        <w:rPr>
          <w:rFonts w:ascii="Tw Cen MT" w:eastAsia="Twentieth Century" w:hAnsi="Tw Cen MT" w:cs="Twentieth Century"/>
          <w:sz w:val="24"/>
          <w:szCs w:val="24"/>
        </w:rPr>
        <w:t>, additional political ephemera reflecting the corollary emancipatory political campaigns in the US and elsewhere. It further includes a filmography and discography</w:t>
      </w:r>
      <w:r w:rsidR="00EA0BC2">
        <w:rPr>
          <w:rFonts w:ascii="Tw Cen MT" w:eastAsia="Twentieth Century" w:hAnsi="Tw Cen MT" w:cs="Twentieth Century"/>
          <w:sz w:val="24"/>
          <w:szCs w:val="24"/>
        </w:rPr>
        <w:t>,</w:t>
      </w:r>
      <w:r w:rsidRPr="00397FDC">
        <w:rPr>
          <w:rFonts w:ascii="Tw Cen MT" w:eastAsia="Twentieth Century" w:hAnsi="Tw Cen MT" w:cs="Twentieth Century"/>
          <w:sz w:val="24"/>
          <w:szCs w:val="24"/>
        </w:rPr>
        <w:t xml:space="preserve"> and materials connecting today's social justice cultural expressions. </w:t>
      </w:r>
      <w:r w:rsidRPr="00397FDC">
        <w:rPr>
          <w:rFonts w:ascii="Tw Cen MT" w:eastAsia="Twentieth Century" w:hAnsi="Tw Cen MT" w:cs="Twentieth Century"/>
          <w:sz w:val="24"/>
          <w:szCs w:val="24"/>
        </w:rPr>
        <w:t>The original curation was developed in consort with the Organization in Solidarity with the Peoples of Africa, Asia and Latin America (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OSPAAAL</w:t>
      </w:r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), the Cuban institution that organized the 1966 conference and produced several decades of graphic materials –</w:t>
      </w:r>
      <w:proofErr w:type="gramStart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>many of the materials in our collection were donated by Casa OSPAAAL</w:t>
      </w:r>
      <w:proofErr w:type="gramEnd"/>
      <w:r w:rsidRPr="00397FDC">
        <w:rPr>
          <w:rFonts w:ascii="Tw Cen MT" w:eastAsia="Twentieth Century" w:hAnsi="Tw Cen MT" w:cs="Twentieth Century"/>
          <w:color w:val="000000"/>
          <w:sz w:val="24"/>
          <w:szCs w:val="24"/>
        </w:rPr>
        <w:t xml:space="preserve"> before it ceased its operations in 2018. </w:t>
      </w:r>
    </w:p>
    <w:p w:rsidR="001D5AE3" w:rsidRPr="00397FDC" w:rsidRDefault="00A5179E">
      <w:pPr>
        <w:rPr>
          <w:rFonts w:ascii="Tw Cen MT" w:hAnsi="Tw Cen MT"/>
          <w:b/>
          <w:sz w:val="24"/>
          <w:szCs w:val="24"/>
        </w:rPr>
      </w:pPr>
      <w:r w:rsidRPr="00397FDC">
        <w:rPr>
          <w:rFonts w:ascii="Tw Cen MT" w:hAnsi="Tw Cen MT"/>
          <w:b/>
          <w:sz w:val="24"/>
          <w:szCs w:val="24"/>
        </w:rPr>
        <w:t>PRIMARY</w:t>
      </w:r>
      <w:r w:rsidR="001D5AE3" w:rsidRPr="00397FDC">
        <w:rPr>
          <w:rFonts w:ascii="Tw Cen MT" w:hAnsi="Tw Cen MT"/>
          <w:b/>
          <w:sz w:val="24"/>
          <w:szCs w:val="24"/>
        </w:rPr>
        <w:t xml:space="preserve"> JOB RESPONSIBILITIES </w:t>
      </w:r>
    </w:p>
    <w:p w:rsidR="00A46643" w:rsidRPr="00397FDC" w:rsidRDefault="00395890" w:rsidP="00A46643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HotHouse is seeking a responsible, experienced</w:t>
      </w:r>
      <w:r w:rsidR="00A5179E" w:rsidRPr="00397FDC">
        <w:rPr>
          <w:rFonts w:ascii="Tw Cen MT" w:hAnsi="Tw Cen MT"/>
          <w:sz w:val="24"/>
          <w:szCs w:val="24"/>
        </w:rPr>
        <w:t>,</w:t>
      </w:r>
      <w:r w:rsidRPr="00397FDC">
        <w:rPr>
          <w:rFonts w:ascii="Tw Cen MT" w:hAnsi="Tw Cen MT"/>
          <w:sz w:val="24"/>
          <w:szCs w:val="24"/>
        </w:rPr>
        <w:t xml:space="preserve"> and self-directed manager to secure exhibition opportunities and oversee the delivery and maintenance of the collection. </w:t>
      </w:r>
      <w:r w:rsidR="00A46643" w:rsidRPr="00397FDC">
        <w:rPr>
          <w:rFonts w:ascii="Tw Cen MT" w:hAnsi="Tw Cen MT"/>
          <w:sz w:val="24"/>
          <w:szCs w:val="24"/>
        </w:rPr>
        <w:t xml:space="preserve"> The goal of the work is c</w:t>
      </w:r>
      <w:r w:rsidR="00A46643" w:rsidRPr="00397FDC">
        <w:rPr>
          <w:rFonts w:ascii="Tw Cen MT" w:hAnsi="Tw Cen MT"/>
          <w:sz w:val="24"/>
          <w:szCs w:val="24"/>
        </w:rPr>
        <w:t xml:space="preserve">reate a </w:t>
      </w:r>
      <w:r w:rsidR="00A46643" w:rsidRPr="00397FDC">
        <w:rPr>
          <w:rFonts w:ascii="Tw Cen MT" w:hAnsi="Tw Cen MT"/>
          <w:sz w:val="24"/>
          <w:szCs w:val="24"/>
        </w:rPr>
        <w:t>three-</w:t>
      </w:r>
      <w:r w:rsidR="00A46643" w:rsidRPr="00397FDC">
        <w:rPr>
          <w:rFonts w:ascii="Tw Cen MT" w:hAnsi="Tw Cen MT"/>
          <w:sz w:val="24"/>
          <w:szCs w:val="24"/>
        </w:rPr>
        <w:t xml:space="preserve">year exhibition schedule </w:t>
      </w:r>
      <w:r w:rsidR="00A46643" w:rsidRPr="00397FDC">
        <w:rPr>
          <w:rFonts w:ascii="Tw Cen MT" w:hAnsi="Tw Cen MT"/>
          <w:sz w:val="24"/>
          <w:szCs w:val="24"/>
        </w:rPr>
        <w:t xml:space="preserve">for the collection than earns a surplus revenue for the organization. </w:t>
      </w:r>
    </w:p>
    <w:p w:rsidR="001D5AE3" w:rsidRPr="00397FDC" w:rsidRDefault="001D5AE3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 xml:space="preserve">The position is a hybrid amalgamation of collections management and coordinator. </w:t>
      </w:r>
    </w:p>
    <w:p w:rsidR="00A5179E" w:rsidRPr="00397FDC" w:rsidRDefault="001D5AE3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 xml:space="preserve">The initial work involves </w:t>
      </w:r>
      <w:r w:rsidR="00395890" w:rsidRPr="00397FDC">
        <w:rPr>
          <w:rFonts w:ascii="Tw Cen MT" w:hAnsi="Tw Cen MT"/>
          <w:sz w:val="24"/>
          <w:szCs w:val="24"/>
        </w:rPr>
        <w:t>organizing the collection</w:t>
      </w:r>
      <w:r w:rsidR="00A5179E" w:rsidRPr="00397FDC">
        <w:rPr>
          <w:rFonts w:ascii="Tw Cen MT" w:hAnsi="Tw Cen MT"/>
          <w:sz w:val="24"/>
          <w:szCs w:val="24"/>
        </w:rPr>
        <w:t>, creating a menu of options for touring</w:t>
      </w:r>
      <w:r w:rsidR="00395890" w:rsidRPr="00397FDC">
        <w:rPr>
          <w:rFonts w:ascii="Tw Cen MT" w:hAnsi="Tw Cen MT"/>
          <w:sz w:val="24"/>
          <w:szCs w:val="24"/>
        </w:rPr>
        <w:t>, preparing the marketing materials / prospectus</w:t>
      </w:r>
      <w:r w:rsidR="00A5179E" w:rsidRPr="00397FDC">
        <w:rPr>
          <w:rFonts w:ascii="Tw Cen MT" w:hAnsi="Tw Cen MT"/>
          <w:sz w:val="24"/>
          <w:szCs w:val="24"/>
        </w:rPr>
        <w:t>,</w:t>
      </w:r>
      <w:r w:rsidR="00395890" w:rsidRPr="00397FDC">
        <w:rPr>
          <w:rFonts w:ascii="Tw Cen MT" w:hAnsi="Tw Cen MT"/>
          <w:sz w:val="24"/>
          <w:szCs w:val="24"/>
        </w:rPr>
        <w:t xml:space="preserve"> and securing rentals by marketing to likely users. </w:t>
      </w:r>
      <w:r w:rsidR="00A5179E" w:rsidRPr="00397FDC">
        <w:rPr>
          <w:rFonts w:ascii="Tw Cen MT" w:hAnsi="Tw Cen MT"/>
          <w:sz w:val="24"/>
          <w:szCs w:val="24"/>
        </w:rPr>
        <w:t xml:space="preserve">Secondarily, the manager will prepare and maintain the collection for touring. </w:t>
      </w:r>
    </w:p>
    <w:p w:rsidR="00A5179E" w:rsidRPr="00397FDC" w:rsidRDefault="00A5179E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 xml:space="preserve">The duties will include: </w:t>
      </w:r>
    </w:p>
    <w:p w:rsidR="00A5179E" w:rsidRPr="00397FDC" w:rsidRDefault="00A5179E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A</w:t>
      </w:r>
      <w:r w:rsidRPr="00397FDC">
        <w:rPr>
          <w:rFonts w:ascii="Tw Cen MT" w:hAnsi="Tw Cen MT"/>
          <w:sz w:val="24"/>
          <w:szCs w:val="24"/>
        </w:rPr>
        <w:t xml:space="preserve">ssist in the planning, project development, and production of the exhibition program. In partnership with the </w:t>
      </w:r>
      <w:r w:rsidR="00A46643" w:rsidRPr="00397FDC">
        <w:rPr>
          <w:rFonts w:ascii="Tw Cen MT" w:hAnsi="Tw Cen MT"/>
          <w:sz w:val="24"/>
          <w:szCs w:val="24"/>
        </w:rPr>
        <w:t xml:space="preserve">Executive </w:t>
      </w:r>
      <w:r w:rsidRPr="00397FDC">
        <w:rPr>
          <w:rFonts w:ascii="Tw Cen MT" w:hAnsi="Tw Cen MT"/>
          <w:sz w:val="24"/>
          <w:szCs w:val="24"/>
        </w:rPr>
        <w:t xml:space="preserve">Director, the coordinator formulates and maintains exhibition production schedules, monitors related deadlines, schedules project meetings, develops and tracks </w:t>
      </w:r>
      <w:r w:rsidRPr="00397FDC">
        <w:rPr>
          <w:rFonts w:ascii="Tw Cen MT" w:hAnsi="Tw Cen MT"/>
          <w:sz w:val="24"/>
          <w:szCs w:val="24"/>
        </w:rPr>
        <w:lastRenderedPageBreak/>
        <w:t xml:space="preserve">budgets, and manages the planning and production process of exhibition related graphics and didactics. </w:t>
      </w:r>
    </w:p>
    <w:p w:rsidR="00A46643" w:rsidRPr="00397FDC" w:rsidRDefault="00A5179E" w:rsidP="00A46643">
      <w:p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 xml:space="preserve">o </w:t>
      </w:r>
      <w:r w:rsidR="00A46643" w:rsidRPr="00397FDC">
        <w:rPr>
          <w:rFonts w:ascii="Tw Cen MT" w:hAnsi="Tw Cen MT"/>
          <w:sz w:val="24"/>
          <w:szCs w:val="24"/>
        </w:rPr>
        <w:t>Create</w:t>
      </w:r>
      <w:r w:rsidR="00397FDC" w:rsidRPr="00397FDC">
        <w:rPr>
          <w:rFonts w:ascii="Tw Cen MT" w:hAnsi="Tw Cen MT"/>
          <w:sz w:val="24"/>
          <w:szCs w:val="24"/>
        </w:rPr>
        <w:t>s</w:t>
      </w:r>
      <w:r w:rsidR="00A46643" w:rsidRPr="00397FDC">
        <w:rPr>
          <w:rFonts w:ascii="Tw Cen MT" w:hAnsi="Tw Cen MT"/>
          <w:sz w:val="24"/>
          <w:szCs w:val="24"/>
        </w:rPr>
        <w:t xml:space="preserve"> </w:t>
      </w:r>
      <w:r w:rsidR="00397FDC" w:rsidRPr="00397FDC">
        <w:rPr>
          <w:rFonts w:ascii="Tw Cen MT" w:hAnsi="Tw Cen MT"/>
          <w:sz w:val="24"/>
          <w:szCs w:val="24"/>
        </w:rPr>
        <w:t xml:space="preserve">or secure </w:t>
      </w:r>
      <w:r w:rsidR="00A46643" w:rsidRPr="00397FDC">
        <w:rPr>
          <w:rFonts w:ascii="Tw Cen MT" w:hAnsi="Tw Cen MT"/>
          <w:sz w:val="24"/>
          <w:szCs w:val="24"/>
        </w:rPr>
        <w:t xml:space="preserve">a </w:t>
      </w:r>
      <w:r w:rsidR="00397FDC" w:rsidRPr="00BC26C5">
        <w:rPr>
          <w:rFonts w:ascii="Tw Cen MT" w:eastAsia="Times New Roman" w:hAnsi="Tw Cen MT" w:cs="Times New Roman"/>
          <w:sz w:val="24"/>
          <w:szCs w:val="24"/>
        </w:rPr>
        <w:t xml:space="preserve">collections management database systems </w:t>
      </w:r>
      <w:r w:rsidR="00397FDC" w:rsidRPr="00397FDC">
        <w:rPr>
          <w:rFonts w:ascii="Tw Cen MT" w:eastAsia="Times New Roman" w:hAnsi="Tw Cen MT" w:cs="Times New Roman"/>
          <w:sz w:val="24"/>
          <w:szCs w:val="24"/>
        </w:rPr>
        <w:t xml:space="preserve">for </w:t>
      </w:r>
      <w:r w:rsidR="00A46643" w:rsidRPr="00397FDC">
        <w:rPr>
          <w:rFonts w:ascii="Tw Cen MT" w:hAnsi="Tw Cen MT"/>
          <w:sz w:val="24"/>
          <w:szCs w:val="24"/>
        </w:rPr>
        <w:t xml:space="preserve">marketing, tracking and managing the collection </w:t>
      </w:r>
      <w:r w:rsidR="00397FDC" w:rsidRPr="00BC26C5">
        <w:rPr>
          <w:rFonts w:ascii="Tw Cen MT" w:eastAsia="Times New Roman" w:hAnsi="Tw Cen MT" w:cs="Times New Roman"/>
          <w:sz w:val="24"/>
          <w:szCs w:val="24"/>
        </w:rPr>
        <w:t>including exhibitions, collections care, accessioning and deaccessioning, and (Gallery Systems Suite) maintenance.</w:t>
      </w:r>
    </w:p>
    <w:p w:rsidR="00A5179E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Respond</w:t>
      </w:r>
      <w:r w:rsidR="00A46643" w:rsidRPr="00397FDC">
        <w:rPr>
          <w:rFonts w:ascii="Tw Cen MT" w:hAnsi="Tw Cen MT"/>
          <w:sz w:val="24"/>
          <w:szCs w:val="24"/>
        </w:rPr>
        <w:t>s</w:t>
      </w:r>
      <w:r w:rsidRPr="00397FDC">
        <w:rPr>
          <w:rFonts w:ascii="Tw Cen MT" w:hAnsi="Tw Cen MT"/>
          <w:sz w:val="24"/>
          <w:szCs w:val="24"/>
        </w:rPr>
        <w:t xml:space="preserve"> to external and internal requests for collections information, providing digital access to information (e.g. images) and physical access as appropriate.</w:t>
      </w:r>
    </w:p>
    <w:p w:rsidR="00A46643" w:rsidRPr="00397FDC" w:rsidRDefault="00A46643" w:rsidP="00A46643">
      <w:pPr>
        <w:pStyle w:val="ListParagraph"/>
        <w:numPr>
          <w:ilvl w:val="1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Creating and processing loan/exhibition contracts.</w:t>
      </w:r>
      <w:r w:rsidRPr="00397FDC">
        <w:rPr>
          <w:rFonts w:ascii="Tw Cen MT" w:hAnsi="Tw Cen MT"/>
          <w:sz w:val="24"/>
          <w:szCs w:val="24"/>
        </w:rPr>
        <w:br/>
      </w:r>
      <w:proofErr w:type="gramStart"/>
      <w:r w:rsidRPr="00397FDC">
        <w:rPr>
          <w:rFonts w:ascii="Tw Cen MT" w:hAnsi="Tw Cen MT"/>
          <w:sz w:val="24"/>
          <w:szCs w:val="24"/>
        </w:rPr>
        <w:t>o</w:t>
      </w:r>
      <w:proofErr w:type="gramEnd"/>
      <w:r w:rsidRPr="00397FDC">
        <w:rPr>
          <w:rFonts w:ascii="Tw Cen MT" w:hAnsi="Tw Cen MT"/>
          <w:sz w:val="24"/>
          <w:szCs w:val="24"/>
        </w:rPr>
        <w:t xml:space="preserve"> Condition checking, supervise packing, and couriering artwork.</w:t>
      </w:r>
      <w:r w:rsidRPr="00397FDC">
        <w:rPr>
          <w:rFonts w:ascii="Tw Cen MT" w:hAnsi="Tw Cen MT"/>
          <w:sz w:val="24"/>
          <w:szCs w:val="24"/>
        </w:rPr>
        <w:t xml:space="preserve"> </w:t>
      </w:r>
      <w:r w:rsidRPr="00397FDC">
        <w:rPr>
          <w:rFonts w:ascii="Tw Cen MT" w:hAnsi="Tw Cen MT"/>
          <w:sz w:val="24"/>
          <w:szCs w:val="24"/>
        </w:rPr>
        <w:t>Coordinate transport for domestic and international transit.</w:t>
      </w:r>
      <w:r w:rsidRPr="00397FDC">
        <w:rPr>
          <w:rFonts w:ascii="Tw Cen MT" w:hAnsi="Tw Cen MT"/>
          <w:sz w:val="24"/>
          <w:szCs w:val="24"/>
        </w:rPr>
        <w:br/>
        <w:t xml:space="preserve">o Track inventory in storage and collection </w:t>
      </w:r>
    </w:p>
    <w:p w:rsidR="00A5179E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Coordinates and oversees conservation treatment and object preparation work, as needed.</w:t>
      </w:r>
    </w:p>
    <w:p w:rsidR="00A5179E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Implements and oversees environmental monitoring programs, including temperature and humidity monitoring, integrated pest management, and storage and housekeeping.</w:t>
      </w:r>
    </w:p>
    <w:p w:rsidR="00A5179E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Processes new acquisitions; arranges packing and shipping; makes insurance arrangements and appropriate loan agreements; produces incoming receipts and condition reports; assigns and applies accession numbers; coordinates appropriate long term storage arrangements; creates and maintains TMS records; monitors copyright status of objects, including securing Non-Exclusive Use Licenses as needed.</w:t>
      </w:r>
    </w:p>
    <w:p w:rsidR="00A46643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 xml:space="preserve">Manages collections photography, including taking </w:t>
      </w:r>
      <w:proofErr w:type="gramStart"/>
      <w:r w:rsidRPr="00397FDC">
        <w:rPr>
          <w:rFonts w:ascii="Tw Cen MT" w:hAnsi="Tw Cen MT"/>
          <w:sz w:val="24"/>
          <w:szCs w:val="24"/>
        </w:rPr>
        <w:t>high resolution</w:t>
      </w:r>
      <w:proofErr w:type="gramEnd"/>
      <w:r w:rsidRPr="00397FDC">
        <w:rPr>
          <w:rFonts w:ascii="Tw Cen MT" w:hAnsi="Tw Cen MT"/>
          <w:sz w:val="24"/>
          <w:szCs w:val="24"/>
        </w:rPr>
        <w:t xml:space="preserve"> photographs of objects and exhibitions or coordinating and supervising outside photographers. Links and maintains photographs in collection database systems. </w:t>
      </w:r>
      <w:r w:rsidR="00397FDC" w:rsidRPr="00397FDC">
        <w:rPr>
          <w:rFonts w:ascii="Tw Cen MT" w:hAnsi="Tw Cen MT"/>
          <w:sz w:val="24"/>
          <w:szCs w:val="24"/>
        </w:rPr>
        <w:t>Coordinate special projects such as framing or photography.</w:t>
      </w:r>
      <w:r w:rsidR="00397FDC" w:rsidRPr="00397FDC">
        <w:rPr>
          <w:rFonts w:ascii="Tw Cen MT" w:hAnsi="Tw Cen MT"/>
          <w:sz w:val="24"/>
          <w:szCs w:val="24"/>
        </w:rPr>
        <w:br/>
      </w:r>
    </w:p>
    <w:p w:rsidR="00A5179E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Responds to external and internal image requests, managing rights and reproduction as needed.</w:t>
      </w:r>
    </w:p>
    <w:p w:rsidR="00A46643" w:rsidRPr="00397FDC" w:rsidRDefault="00A46643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Process and file invoices.</w:t>
      </w:r>
    </w:p>
    <w:p w:rsidR="00397FDC" w:rsidRPr="00397FDC" w:rsidRDefault="00A5179E" w:rsidP="00A46643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Maintain small archive of press and ephemera related to</w:t>
      </w:r>
      <w:r w:rsidR="00397FDC" w:rsidRPr="00397FDC">
        <w:rPr>
          <w:rFonts w:ascii="Tw Cen MT" w:hAnsi="Tw Cen MT"/>
          <w:sz w:val="24"/>
          <w:szCs w:val="24"/>
        </w:rPr>
        <w:t xml:space="preserve"> our collection's activities.</w:t>
      </w:r>
    </w:p>
    <w:p w:rsidR="00BC26C5" w:rsidRPr="00397FDC" w:rsidRDefault="00A5179E" w:rsidP="00397FDC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97FDC">
        <w:rPr>
          <w:rFonts w:ascii="Tw Cen MT" w:hAnsi="Tw Cen MT"/>
          <w:sz w:val="24"/>
          <w:szCs w:val="24"/>
        </w:rPr>
        <w:t>Assist with other related tasks, as needed when appropriate.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b/>
          <w:bCs/>
          <w:sz w:val="24"/>
          <w:szCs w:val="24"/>
        </w:rPr>
        <w:t>Experience:</w:t>
      </w:r>
    </w:p>
    <w:p w:rsidR="00BC26C5" w:rsidRPr="00BC26C5" w:rsidRDefault="00BC26C5" w:rsidP="00BC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Registration background and deep knowledge of registration best practiced related to collections care and management.</w:t>
      </w:r>
    </w:p>
    <w:p w:rsidR="00BC26C5" w:rsidRPr="00BC26C5" w:rsidRDefault="00BC26C5" w:rsidP="00BC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Overseeing the general care, display, and storage of significant collections for works of art.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b/>
          <w:bCs/>
          <w:sz w:val="24"/>
          <w:szCs w:val="24"/>
        </w:rPr>
        <w:t>Technical Skills or Knowledge:</w:t>
      </w:r>
    </w:p>
    <w:p w:rsidR="00BC26C5" w:rsidRPr="00BC26C5" w:rsidRDefault="00BC26C5" w:rsidP="00397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 xml:space="preserve">Experience creating, maintaining, and managing records within the Gallery Systems Suite (The Museum System, </w:t>
      </w:r>
      <w:proofErr w:type="spellStart"/>
      <w:r w:rsidRPr="00BC26C5">
        <w:rPr>
          <w:rFonts w:ascii="Tw Cen MT" w:eastAsia="Times New Roman" w:hAnsi="Tw Cen MT" w:cs="Times New Roman"/>
          <w:sz w:val="24"/>
          <w:szCs w:val="24"/>
        </w:rPr>
        <w:t>eMuseum</w:t>
      </w:r>
      <w:proofErr w:type="spellEnd"/>
      <w:r w:rsidRPr="00BC26C5">
        <w:rPr>
          <w:rFonts w:ascii="Tw Cen MT" w:eastAsia="Times New Roman" w:hAnsi="Tw Cen MT" w:cs="Times New Roman"/>
          <w:sz w:val="24"/>
          <w:szCs w:val="24"/>
        </w:rPr>
        <w:t>, and Media Studio)</w:t>
      </w:r>
      <w:r w:rsidR="00397FDC">
        <w:rPr>
          <w:rFonts w:ascii="Tw Cen MT" w:eastAsia="Times New Roman" w:hAnsi="Tw Cen MT" w:cs="Times New Roman"/>
          <w:sz w:val="24"/>
          <w:szCs w:val="24"/>
        </w:rPr>
        <w:t xml:space="preserve"> or similar</w:t>
      </w:r>
      <w:r w:rsidRPr="00BC26C5">
        <w:rPr>
          <w:rFonts w:ascii="Tw Cen MT" w:eastAsia="Times New Roman" w:hAnsi="Tw Cen MT" w:cs="Times New Roman"/>
          <w:sz w:val="24"/>
          <w:szCs w:val="24"/>
        </w:rPr>
        <w:t>.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>Preferred Competencies</w:t>
      </w:r>
    </w:p>
    <w:p w:rsidR="00BC26C5" w:rsidRPr="00BC26C5" w:rsidRDefault="00BC26C5" w:rsidP="00BC2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lastRenderedPageBreak/>
        <w:t>Work with others effectively to achieve objectives and meet deadlines.</w:t>
      </w:r>
    </w:p>
    <w:p w:rsidR="00BC26C5" w:rsidRPr="00BC26C5" w:rsidRDefault="00BC26C5" w:rsidP="00BC2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Strong written and oral communication and organizational skills.</w:t>
      </w:r>
    </w:p>
    <w:p w:rsidR="00BC26C5" w:rsidRPr="00BC26C5" w:rsidRDefault="00BC26C5" w:rsidP="00BC2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Strong attention to detail.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>Working Conditions</w:t>
      </w:r>
    </w:p>
    <w:p w:rsidR="00BC26C5" w:rsidRPr="00BC26C5" w:rsidRDefault="00BC26C5" w:rsidP="00BC26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Moves equipment weighing up to 25 pounds.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bookmarkStart w:id="0" w:name="_GoBack"/>
      <w:bookmarkEnd w:id="0"/>
      <w:r w:rsidRPr="00BC26C5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>Application Documents</w:t>
      </w:r>
    </w:p>
    <w:p w:rsidR="00BC26C5" w:rsidRPr="00BC26C5" w:rsidRDefault="00BC26C5" w:rsidP="00BC26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Resume/CV (required)</w:t>
      </w:r>
    </w:p>
    <w:p w:rsidR="00BC26C5" w:rsidRPr="00BC26C5" w:rsidRDefault="00BC26C5" w:rsidP="00BC26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Cover Letter (required)</w:t>
      </w:r>
    </w:p>
    <w:p w:rsidR="00BC26C5" w:rsidRPr="00BC26C5" w:rsidRDefault="00BC26C5" w:rsidP="00BC26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C26C5">
        <w:rPr>
          <w:rFonts w:ascii="Tw Cen MT" w:eastAsia="Times New Roman" w:hAnsi="Tw Cen MT" w:cs="Times New Roman"/>
          <w:sz w:val="24"/>
          <w:szCs w:val="24"/>
        </w:rPr>
        <w:t>References Contact Information (3)(preferred)</w:t>
      </w:r>
    </w:p>
    <w:p w:rsidR="00BC26C5" w:rsidRPr="00BC26C5" w:rsidRDefault="00BC26C5" w:rsidP="00BC26C5">
      <w:pPr>
        <w:spacing w:before="100" w:beforeAutospacing="1" w:after="100" w:afterAutospacing="1" w:line="240" w:lineRule="auto"/>
        <w:rPr>
          <w:rFonts w:ascii="Tw Cen MT" w:eastAsia="Times New Roman" w:hAnsi="Tw Cen MT" w:cs="Times New Roman"/>
          <w:sz w:val="24"/>
          <w:szCs w:val="24"/>
        </w:rPr>
      </w:pPr>
    </w:p>
    <w:sectPr w:rsidR="00BC26C5" w:rsidRPr="00BC26C5" w:rsidSect="0039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989"/>
    <w:multiLevelType w:val="hybridMultilevel"/>
    <w:tmpl w:val="5592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0A38"/>
    <w:multiLevelType w:val="multilevel"/>
    <w:tmpl w:val="839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13A0A"/>
    <w:multiLevelType w:val="multilevel"/>
    <w:tmpl w:val="96F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66D53"/>
    <w:multiLevelType w:val="multilevel"/>
    <w:tmpl w:val="9F7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2289"/>
    <w:multiLevelType w:val="multilevel"/>
    <w:tmpl w:val="0EA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446F7"/>
    <w:multiLevelType w:val="multilevel"/>
    <w:tmpl w:val="877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B265D"/>
    <w:multiLevelType w:val="hybridMultilevel"/>
    <w:tmpl w:val="F57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5"/>
    <w:rsid w:val="000A305A"/>
    <w:rsid w:val="00132D37"/>
    <w:rsid w:val="001D5AE3"/>
    <w:rsid w:val="00395890"/>
    <w:rsid w:val="00397FDC"/>
    <w:rsid w:val="009163FC"/>
    <w:rsid w:val="00A46643"/>
    <w:rsid w:val="00A5179E"/>
    <w:rsid w:val="00BC26C5"/>
    <w:rsid w:val="00E37968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ECBC"/>
  <w15:chartTrackingRefBased/>
  <w15:docId w15:val="{09162161-9BF6-449D-95FD-8D2F099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809</Words>
  <Characters>4494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HotHouse HotHouse</dc:creator>
  <cp:keywords/>
  <dc:description/>
  <cp:lastModifiedBy>HotHouse HotHouse</cp:lastModifiedBy>
  <cp:revision>2</cp:revision>
  <dcterms:created xsi:type="dcterms:W3CDTF">2023-05-15T13:25:00Z</dcterms:created>
  <dcterms:modified xsi:type="dcterms:W3CDTF">2023-05-23T17:43:00Z</dcterms:modified>
</cp:coreProperties>
</file>